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3EFE">
        <w:rPr>
          <w:rFonts w:ascii="Times New Roman" w:hAnsi="Times New Roman" w:cs="Times New Roman"/>
          <w:b/>
          <w:bCs/>
          <w:sz w:val="24"/>
          <w:szCs w:val="24"/>
        </w:rPr>
        <w:t>МИНИСТЕРСТВО РОССИЙСКОЙ ФЕДЕРАЦИИ ПО ДЕЛАМ ГРАЖДАНСКОЙ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EFE">
        <w:rPr>
          <w:rFonts w:ascii="Times New Roman" w:hAnsi="Times New Roman" w:cs="Times New Roman"/>
          <w:b/>
          <w:bCs/>
          <w:sz w:val="24"/>
          <w:szCs w:val="24"/>
        </w:rPr>
        <w:t>ОБОРОНЫ, ЧРЕЗВЫЧАЙНЫМ СИТУАЦИЯМ И ЛИКВИДАЦИИ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EFE">
        <w:rPr>
          <w:rFonts w:ascii="Times New Roman" w:hAnsi="Times New Roman" w:cs="Times New Roman"/>
          <w:b/>
          <w:bCs/>
          <w:sz w:val="24"/>
          <w:szCs w:val="24"/>
        </w:rPr>
        <w:t>ПОСЛЕДСТВИЙ СТИХИЙНЫХ БЕДСТВИЙ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EFE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EFE">
        <w:rPr>
          <w:rFonts w:ascii="Times New Roman" w:hAnsi="Times New Roman" w:cs="Times New Roman"/>
          <w:b/>
          <w:bCs/>
          <w:sz w:val="24"/>
          <w:szCs w:val="24"/>
        </w:rPr>
        <w:t>от 20 июля 2020 г. N 539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EFE">
        <w:rPr>
          <w:rFonts w:ascii="Times New Roman" w:hAnsi="Times New Roman" w:cs="Times New Roman"/>
          <w:b/>
          <w:bCs/>
          <w:sz w:val="24"/>
          <w:szCs w:val="24"/>
        </w:rPr>
        <w:t>ОБ УТВЕРЖДЕНИИ СВОДА ПРАВИЛ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EFE">
        <w:rPr>
          <w:rFonts w:ascii="Times New Roman" w:hAnsi="Times New Roman" w:cs="Times New Roman"/>
          <w:b/>
          <w:bCs/>
          <w:sz w:val="24"/>
          <w:szCs w:val="24"/>
        </w:rPr>
        <w:t>"СИСТЕМЫ ПРОТИВОПОЖАРНОЙ ЗАЩИТЫ. ПЕРЕЧЕНЬ ЗДАНИЙ,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EFE">
        <w:rPr>
          <w:rFonts w:ascii="Times New Roman" w:hAnsi="Times New Roman" w:cs="Times New Roman"/>
          <w:b/>
          <w:bCs/>
          <w:sz w:val="24"/>
          <w:szCs w:val="24"/>
        </w:rPr>
        <w:t>СООРУЖЕНИЙ, ПОМЕЩЕНИЙ И ОБОРУДОВАНИЯ, ПОДЛЕЖАЩИХ ЗАЩИТЕ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EFE">
        <w:rPr>
          <w:rFonts w:ascii="Times New Roman" w:hAnsi="Times New Roman" w:cs="Times New Roman"/>
          <w:b/>
          <w:bCs/>
          <w:sz w:val="24"/>
          <w:szCs w:val="24"/>
        </w:rPr>
        <w:t>АВТОМАТИЧЕСКИМИ УСТАНОВКАМИ ПОЖАРОТУШЕНИЯ И СИСТЕМАМИ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EFE">
        <w:rPr>
          <w:rFonts w:ascii="Times New Roman" w:hAnsi="Times New Roman" w:cs="Times New Roman"/>
          <w:b/>
          <w:bCs/>
          <w:sz w:val="24"/>
          <w:szCs w:val="24"/>
        </w:rPr>
        <w:t>ПОЖАРНОЙ СИГНАЛИЗАЦИИ. ТРЕБОВАНИЙ ПОЖАРНОЙ БЕЗОПАСНОСТИ"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 от 22 июля 2008 г. N 123-ФЗ "Технический регламент о требованиях пожарной безопасности" &lt;1&gt;, </w:t>
      </w:r>
      <w:hyperlink r:id="rId6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&lt;2&gt; и </w:t>
      </w:r>
      <w:hyperlink r:id="rId7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 июля 2016 г. N 624 "Об утверждении Правил разработки, утверждения, опубликования, изменения и отмены сводов правил" &lt;3&gt; приказываю: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2008, N 30, ст. 3579; 2018, N 53, ст. 8464.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&lt;2&gt; Собрание законодательства Российской Федерации, 2004, N 28, ст. 2882; 2020, N 1, ст. 7.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&lt;3&gt; Собрание законодательства Российской Федерации, 2016, N 28, ст. 4749; 2019, N 23, ст. 2942.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 xml:space="preserve">Утвердить и ввести в действие с 1 марта 2021 г. прилагаемый </w:t>
      </w:r>
      <w:hyperlink w:anchor="Par37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свод правил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 "Системы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безопасности".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Министр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Е.Н.ЗИНИЧЕВ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приказом МЧС России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от 20.07.2020 N 539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EFE">
        <w:rPr>
          <w:rFonts w:ascii="Times New Roman" w:hAnsi="Times New Roman" w:cs="Times New Roman"/>
          <w:b/>
          <w:bCs/>
          <w:sz w:val="24"/>
          <w:szCs w:val="24"/>
        </w:rPr>
        <w:t>МИНИСТЕРСТВО РОССИЙСКОЙ ФЕДЕРАЦИИ ПО ДЕЛАМ ГРАЖДАНСКОЙ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EFE">
        <w:rPr>
          <w:rFonts w:ascii="Times New Roman" w:hAnsi="Times New Roman" w:cs="Times New Roman"/>
          <w:b/>
          <w:bCs/>
          <w:sz w:val="24"/>
          <w:szCs w:val="24"/>
        </w:rPr>
        <w:t>ОБОРОНЫ, ЧРЕЗВЫЧАЙНЫМ СИТУАЦИЯМ И ЛИКВИДАЦИИ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EFE">
        <w:rPr>
          <w:rFonts w:ascii="Times New Roman" w:hAnsi="Times New Roman" w:cs="Times New Roman"/>
          <w:b/>
          <w:bCs/>
          <w:sz w:val="24"/>
          <w:szCs w:val="24"/>
        </w:rPr>
        <w:t>ПОСЛЕДСТВИЙ СТИХИЙНЫХ БЕДСТВИЙ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7"/>
      <w:bookmarkEnd w:id="1"/>
      <w:r w:rsidRPr="00BB3EFE">
        <w:rPr>
          <w:rFonts w:ascii="Times New Roman" w:hAnsi="Times New Roman" w:cs="Times New Roman"/>
          <w:b/>
          <w:bCs/>
          <w:sz w:val="24"/>
          <w:szCs w:val="24"/>
        </w:rPr>
        <w:t>СВОД ПРАВИЛ СП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EFE">
        <w:rPr>
          <w:rFonts w:ascii="Times New Roman" w:hAnsi="Times New Roman" w:cs="Times New Roman"/>
          <w:b/>
          <w:bCs/>
          <w:sz w:val="24"/>
          <w:szCs w:val="24"/>
        </w:rPr>
        <w:t>СИСТЕМЫ ПРОТИВОПОЖАРНОЙ ЗАЩИТЫ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EFE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EFE">
        <w:rPr>
          <w:rFonts w:ascii="Times New Roman" w:hAnsi="Times New Roman" w:cs="Times New Roman"/>
          <w:b/>
          <w:bCs/>
          <w:sz w:val="24"/>
          <w:szCs w:val="24"/>
        </w:rPr>
        <w:t>ЗДАНИЙ, СООРУЖЕНИЙ, ПОМЕЩЕНИЙ И ОБОРУДОВАНИЯ, ПОДЛЕЖАЩИХ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EFE">
        <w:rPr>
          <w:rFonts w:ascii="Times New Roman" w:hAnsi="Times New Roman" w:cs="Times New Roman"/>
          <w:b/>
          <w:bCs/>
          <w:sz w:val="24"/>
          <w:szCs w:val="24"/>
        </w:rPr>
        <w:t>ЗАЩИТЕ АВТОМАТИЧЕСКИМИ УСТАНОВКАМИ ПОЖАРОТУШЕНИЯ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EFE">
        <w:rPr>
          <w:rFonts w:ascii="Times New Roman" w:hAnsi="Times New Roman" w:cs="Times New Roman"/>
          <w:b/>
          <w:bCs/>
          <w:sz w:val="24"/>
          <w:szCs w:val="24"/>
        </w:rPr>
        <w:t>И СИСТЕМАМИ ПОЖАРНОЙ СИГНАЛИЗАЦИИ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EFE">
        <w:rPr>
          <w:rFonts w:ascii="Times New Roman" w:hAnsi="Times New Roman" w:cs="Times New Roman"/>
          <w:b/>
          <w:bCs/>
          <w:sz w:val="24"/>
          <w:szCs w:val="24"/>
        </w:rPr>
        <w:t>ТРЕБОВАНИЯ ПОЖАРНОЙ БЕЗОПАСНОСТИ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Дата введения _____________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B3EFE">
        <w:rPr>
          <w:rFonts w:ascii="Times New Roman" w:hAnsi="Times New Roman" w:cs="Times New Roman"/>
          <w:b/>
          <w:bCs/>
          <w:sz w:val="24"/>
          <w:szCs w:val="24"/>
        </w:rPr>
        <w:t>Предисловие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 xml:space="preserve">Цели и принципы стандартизации в Российской Федерации установлены Федеральным </w:t>
      </w:r>
      <w:hyperlink r:id="rId8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 от 29 июня 2015 г. N 162-ФЗ "О стандартизации в Российской Федерации", а правила разработки сводов правил - </w:t>
      </w:r>
      <w:hyperlink r:id="rId9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 июля 2016 г. N 624 "Об утверждении Правил разработки, утверждения, опубликования, изменения и отмены сводов правил".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 xml:space="preserve">Настоящий свод правил разработан в целях обеспечения соблюдения требований Федерального </w:t>
      </w:r>
      <w:hyperlink r:id="rId10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 от 22 июля 2008 г. N 123-ФЗ "Технический регламент о требованиях пожарной безопасности" </w:t>
      </w:r>
      <w:hyperlink w:anchor="Par683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[1]</w:t>
        </w:r>
      </w:hyperlink>
      <w:r w:rsidRPr="00BB3EFE">
        <w:rPr>
          <w:rFonts w:ascii="Times New Roman" w:hAnsi="Times New Roman" w:cs="Times New Roman"/>
          <w:sz w:val="24"/>
          <w:szCs w:val="24"/>
        </w:rPr>
        <w:t>.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B3EFE">
        <w:rPr>
          <w:rFonts w:ascii="Times New Roman" w:hAnsi="Times New Roman" w:cs="Times New Roman"/>
          <w:b/>
          <w:bCs/>
          <w:sz w:val="24"/>
          <w:szCs w:val="24"/>
        </w:rPr>
        <w:t>Сведения о своде правил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1. РАЗРАБОТАН Федеральным государственным бюджетным учреждением "Всероссийский ордена "Знак Почета" научно-исследовательский институт противопожарной обороны Министерства Российской Федерации по делам гражданской обороны, чрезвычайным ситуациям и ликвидации последствий стихийных бедствий" (далее - ФГБУ ВНИИПО МЧС России).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2. УТВЕРЖДЕН И ВВЕДЕН В ДЕЙСТВИЕ приказом Министерства Российской Федерации по делам гражданской обороны, чрезвычайным ситуациям и ликвидации последствий стихийных бедствий от _________ N ______.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3. ЗАРЕГИСТРИРОВАН Федеральным агентством по техническому регулированию и метрологии.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4. ВВЕДЕН ВПЕРВЫЕ.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 xml:space="preserve">Информация о пересмотре или внесении изменений в настоящий свод правил, а также тексты размещаются в информационной системе общего пользования - на официальном сайте разработчика. Соответствующая информация, уведомление и тексты </w:t>
      </w:r>
      <w:r w:rsidRPr="00BB3EFE">
        <w:rPr>
          <w:rFonts w:ascii="Times New Roman" w:hAnsi="Times New Roman" w:cs="Times New Roman"/>
          <w:sz w:val="24"/>
          <w:szCs w:val="24"/>
        </w:rPr>
        <w:lastRenderedPageBreak/>
        <w:t>размещаются также в информационной системе общего пользования - на официальном сайте федерального органа исполнительной власти в сфере стандартизации в информационно-телекоммуникационной сети Интернет (www.gost.ru).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Настоящий свод правил не может быть полностью или частично воспроизведен, тиражирован и распространен в качестве официального издания на территории Российской Федерации без разрешения федерального органа исполнительной власти в сфере стандартизации.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B3EFE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 xml:space="preserve">1.1. Настоящий свод правил устанавливает требования пожарной безопасности, регламентирующие защиту зданий, сооружений, помещений и оборудования автоматическими установками пожаротушения (далее - АУП) и системами пожарной сигнализации (далее - СПС) при их проектировании, реконструкции, капитальном ремонте, изменении функционального назначения, эксплуатации, а также при техническом перевооружении. При этом указанные АУП и СПС должны проектироваться в соответствии с требованиями </w:t>
      </w:r>
      <w:hyperlink r:id="rId11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свода правил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 "Системы противопожарной защиты. Установки пожаротушения автоматические. Нормы и правила проектирования" и свода правил "Системы противопожарной защиты. Системы пожарной сигнализации и автоматизация систем противопожарной защиты. Нормы и правила проектирования" соответственно.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1.2. Для зданий и сооружений, на которые введены отдельные нормы в соответствии с действующим законодательством в области стандартизации и технического регулирования, в случае наличия противоречий между указанными нормами и настоящим сводом правил следует руководствоваться более высокими требованиями.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1.3. Настоящий свод правил может быть использован при разработке специальных технических условий для объектов защиты.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B3EFE">
        <w:rPr>
          <w:rFonts w:ascii="Times New Roman" w:hAnsi="Times New Roman" w:cs="Times New Roman"/>
          <w:b/>
          <w:bCs/>
          <w:sz w:val="24"/>
          <w:szCs w:val="24"/>
        </w:rPr>
        <w:t>2. Нормативные ссылки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В настоящем своде правил использованы нормативные ссылки на следующие документы: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 xml:space="preserve">"СП. </w:t>
      </w:r>
      <w:hyperlink r:id="rId12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Свод правил</w:t>
        </w:r>
      </w:hyperlink>
      <w:r w:rsidRPr="00BB3EFE">
        <w:rPr>
          <w:rFonts w:ascii="Times New Roman" w:hAnsi="Times New Roman" w:cs="Times New Roman"/>
          <w:sz w:val="24"/>
          <w:szCs w:val="24"/>
        </w:rPr>
        <w:t>. Системы противопожарной защиты. Установки пожаротушения автоматические. Нормы и правила проектирования";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"СП. Свод правил. Системы противопожарной защиты. Системы пожарной сигнализации и автоматизация систем противопожарной защиты. Нормы и правила проектирования";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"</w:t>
      </w:r>
      <w:hyperlink r:id="rId13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СП 1.13130.2020</w:t>
        </w:r>
      </w:hyperlink>
      <w:r w:rsidRPr="00BB3EFE">
        <w:rPr>
          <w:rFonts w:ascii="Times New Roman" w:hAnsi="Times New Roman" w:cs="Times New Roman"/>
          <w:sz w:val="24"/>
          <w:szCs w:val="24"/>
        </w:rPr>
        <w:t>. Свод правил. Системы противопожарной защиты. Эвакуационные пути и выходы";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"</w:t>
      </w:r>
      <w:hyperlink r:id="rId14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СП 6.13130.2013</w:t>
        </w:r>
      </w:hyperlink>
      <w:r w:rsidRPr="00BB3EFE">
        <w:rPr>
          <w:rFonts w:ascii="Times New Roman" w:hAnsi="Times New Roman" w:cs="Times New Roman"/>
          <w:sz w:val="24"/>
          <w:szCs w:val="24"/>
        </w:rPr>
        <w:t>. Свод правил. Системы противопожарной защиты. Электрооборудование. Требования пожарной безопасности";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"</w:t>
      </w:r>
      <w:hyperlink r:id="rId15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СП 7.13130.2013</w:t>
        </w:r>
      </w:hyperlink>
      <w:r w:rsidRPr="00BB3EFE">
        <w:rPr>
          <w:rFonts w:ascii="Times New Roman" w:hAnsi="Times New Roman" w:cs="Times New Roman"/>
          <w:sz w:val="24"/>
          <w:szCs w:val="24"/>
        </w:rPr>
        <w:t>. Свод правил. Отопление, вентиляция, кондиционирование. Требования пожарной безопасности";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"</w:t>
      </w:r>
      <w:hyperlink r:id="rId16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СП 120.13330.2012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. Свод правил. Метрополитены. Актуализированная редакция </w:t>
      </w:r>
      <w:hyperlink r:id="rId17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СНиП 32-02-2003</w:t>
        </w:r>
      </w:hyperlink>
      <w:r w:rsidRPr="00BB3EFE">
        <w:rPr>
          <w:rFonts w:ascii="Times New Roman" w:hAnsi="Times New Roman" w:cs="Times New Roman"/>
          <w:sz w:val="24"/>
          <w:szCs w:val="24"/>
        </w:rPr>
        <w:t>";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lastRenderedPageBreak/>
        <w:t>"</w:t>
      </w:r>
      <w:hyperlink r:id="rId18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СП 153.13130.2013</w:t>
        </w:r>
      </w:hyperlink>
      <w:r w:rsidRPr="00BB3EFE">
        <w:rPr>
          <w:rFonts w:ascii="Times New Roman" w:hAnsi="Times New Roman" w:cs="Times New Roman"/>
          <w:sz w:val="24"/>
          <w:szCs w:val="24"/>
        </w:rPr>
        <w:t>. Свод правил. Инфраструктура железнодорожного транспорта. Требования пожарной безопасности";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"</w:t>
      </w:r>
      <w:hyperlink r:id="rId19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СП 155.13130.2014</w:t>
        </w:r>
      </w:hyperlink>
      <w:r w:rsidRPr="00BB3EFE">
        <w:rPr>
          <w:rFonts w:ascii="Times New Roman" w:hAnsi="Times New Roman" w:cs="Times New Roman"/>
          <w:sz w:val="24"/>
          <w:szCs w:val="24"/>
        </w:rPr>
        <w:t>. Свод правил. Склады нефти и нефтепродуктов. Требования пожарной безопасности";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"</w:t>
      </w:r>
      <w:hyperlink r:id="rId20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СП 156.13130.2014</w:t>
        </w:r>
      </w:hyperlink>
      <w:r w:rsidRPr="00BB3EFE">
        <w:rPr>
          <w:rFonts w:ascii="Times New Roman" w:hAnsi="Times New Roman" w:cs="Times New Roman"/>
          <w:sz w:val="24"/>
          <w:szCs w:val="24"/>
        </w:rPr>
        <w:t>. Свод правил. Станции автомобильные заправочные. Требования пожарной безопасности";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"</w:t>
      </w:r>
      <w:hyperlink r:id="rId21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СП 364.1311500-2018</w:t>
        </w:r>
      </w:hyperlink>
      <w:r w:rsidRPr="00BB3EFE">
        <w:rPr>
          <w:rFonts w:ascii="Times New Roman" w:hAnsi="Times New Roman" w:cs="Times New Roman"/>
          <w:sz w:val="24"/>
          <w:szCs w:val="24"/>
        </w:rPr>
        <w:t>. Свод правил. Здания и сооружения для обслуживания автомобилей. Требования пожарной безопасности";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ВНП 001-01/Банк России</w:t>
        </w:r>
      </w:hyperlink>
      <w:r w:rsidRPr="00BB3EFE">
        <w:rPr>
          <w:rFonts w:ascii="Times New Roman" w:hAnsi="Times New Roman" w:cs="Times New Roman"/>
          <w:sz w:val="24"/>
          <w:szCs w:val="24"/>
        </w:rPr>
        <w:t>. "Здания территориальных главных управлений, национальных банков и расчетно-кассовых центров Центрального банка Российской Федерации".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Примечание: при пользовании настоящим сводом правил целесообразно проверить действие ссылочных стандартов и сводов правил в информационно-телекоммуникационной сети Интернет - на официальном сайте Федерального агентства по техническому регулированию и метрологии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сводом правил следует руководствоваться заменяющим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B3EFE">
        <w:rPr>
          <w:rFonts w:ascii="Times New Roman" w:hAnsi="Times New Roman" w:cs="Times New Roman"/>
          <w:b/>
          <w:bCs/>
          <w:sz w:val="24"/>
          <w:szCs w:val="24"/>
        </w:rPr>
        <w:t>3. Термины и определения, сокращения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 xml:space="preserve">В настоящем своде правил приняты термины и определения, приведенные в </w:t>
      </w:r>
      <w:hyperlink w:anchor="Par683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[1]</w:t>
        </w:r>
      </w:hyperlink>
      <w:r w:rsidRPr="00BB3EFE">
        <w:rPr>
          <w:rFonts w:ascii="Times New Roman" w:hAnsi="Times New Roman" w:cs="Times New Roman"/>
          <w:sz w:val="24"/>
          <w:szCs w:val="24"/>
        </w:rPr>
        <w:t>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Кроме того, в настоящем своде правил, за исключением специально оговоренных случаев, применены следующие термины с соответствующими определениями: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3.1. Охлаждаемая камера: помещение, оборудованное системой искусственного охлаждения для поддержания температурного режима, как правило, в диапазоне температур от минус 30 °C до плюс 5 °C, соответствующего требованиям технологического процесса производства, содержания и хранения продукции без изменения качественных показателей и товарного вида в течение установленного нормативными документами периода.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3.2. Помещение с мокрыми процессами: помещение с влажностью внутреннего воздуха свыше 75% при температуре от 12 до 24 °C, а также с влажностью внутреннего воздуха свыше 60% при температуре свыше 24 °C.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3.3. Холодильник промышленный: здание, сооружение на территории производственного объекта с искусственным охлаждением воздуха в помещениях, предназначенных для охлаждения, замораживания, обработки и хранения продукции.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В настоящем своде правил применены следующие сокращения: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АСУ ТП - автоматизированная система управления технологическим процессом;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АТС - автоматическая телефонная станция;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lastRenderedPageBreak/>
        <w:t>АУП - автоматическая установка пожаротушения;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ГЖ - горючая жидкость;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ЛВЖ - легковоспламеняющаяся жидкость;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СПС - система пожарной сигнализации;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ЭВМ - электронно-вычислительная машина.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B3EFE">
        <w:rPr>
          <w:rFonts w:ascii="Times New Roman" w:hAnsi="Times New Roman" w:cs="Times New Roman"/>
          <w:b/>
          <w:bCs/>
          <w:sz w:val="24"/>
          <w:szCs w:val="24"/>
        </w:rPr>
        <w:t>4. Общие положения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 xml:space="preserve">4.1. При определении необходимости защиты здания и его отдельных помещений автоматическими установками пожаротушения и (или) системой пожарной сигнализации следует в первую очередь определить необходимость защиты здания в целом </w:t>
      </w:r>
      <w:hyperlink w:anchor="Par129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(таблица 1)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, затем определить необходимость защиты каждого сооружения </w:t>
      </w:r>
      <w:hyperlink w:anchor="Par277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(таблица 2)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 и помещения </w:t>
      </w:r>
      <w:hyperlink w:anchor="Par358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(таблица 3)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, входящих в состав здания, и в заключении определить необходимость защиты оборудования, находящегося в помещениях здания </w:t>
      </w:r>
      <w:hyperlink w:anchor="Par636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(таблица 4)</w:t>
        </w:r>
      </w:hyperlink>
      <w:r w:rsidRPr="00BB3EFE">
        <w:rPr>
          <w:rFonts w:ascii="Times New Roman" w:hAnsi="Times New Roman" w:cs="Times New Roman"/>
          <w:sz w:val="24"/>
          <w:szCs w:val="24"/>
        </w:rPr>
        <w:t>. При этом наряду с требованиями, указанными в таблицах, также учитываются положения настоящего раздела.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4.2. Под зданием в настоящем своде правил понимается здание в целом или пожарный отсек, выделенный от остальной части здания противопожарными стенами 1-го типа. Для зданий, имеющих подземную и надземную части, выделенные в самостоятельные пожарные отсеки с обособленными эвакуационными выходами, указанные части (надземную и подземную) в контексте настоящего свода правил допускается рассматривать как отдельные здания.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 xml:space="preserve">Под нормативным показателем площади помещения в </w:t>
      </w:r>
      <w:hyperlink w:anchor="Par358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таблице 3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 настоящего свода правил понимается площадь части здания или сооружения, выделенная ограждающими конструкциями, отнесенными к противопожарным преградам с пределом огнестойкости: перегородки - не менее EI 45, стены и перекрытия - не менее REI 45. Для зданий и сооружений, в составе которых отсутствуют части (помещения), выделенные ограждающими конструкциями с указанным пределом огнестойкости, под нормативным показателем площади помещения в </w:t>
      </w:r>
      <w:hyperlink w:anchor="Par358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таблице 3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 понимается площадь, выделенная наружными ограждающими конструкциями здания или сооружения.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 xml:space="preserve">4.3. Тип АУП, способ тушения, вид огнетушащих веществ, тип оборудования СПС определяются проектной организацией в зависимости от технологических, конструктивных и объемно-планировочных особенностей защищаемых объектов в соответствии с требованиями "СП. </w:t>
      </w:r>
      <w:hyperlink r:id="rId23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Свод правил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. Системы противопожарной защиты. Установки пожаротушения автоматические. Нормы и правила проектирования" и "СП. Свод правил. Системы противопожарной защиты. Системы пожарной сигнализации и автоматизация систем противопожарной защиты. Нормы и правила проектирования" </w:t>
      </w:r>
      <w:hyperlink w:anchor="Par684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[2]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 с учетом положений настоящего свода правил.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 xml:space="preserve">Здания и помещения, перечисленные в </w:t>
      </w:r>
      <w:hyperlink w:anchor="Par141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89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2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1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3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6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7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56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15 таблицы 1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63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96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25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40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63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35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22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48 таблицы 3</w:t>
        </w:r>
      </w:hyperlink>
      <w:r w:rsidRPr="00BB3EFE">
        <w:rPr>
          <w:rFonts w:ascii="Times New Roman" w:hAnsi="Times New Roman" w:cs="Times New Roman"/>
          <w:sz w:val="24"/>
          <w:szCs w:val="24"/>
        </w:rPr>
        <w:t>, при применении СПС следует оборудовать дымовыми пожарными извещателями, либо комбинированными или мультикритериальными пожарными извещателями, реагирующими на дым (кроме помещений для приготовления пищи).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 xml:space="preserve">При оборудовании помещений жилых зданий СПС следует дополнительно учитывать требования </w:t>
      </w:r>
      <w:hyperlink w:anchor="Par684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[2]</w:t>
        </w:r>
      </w:hyperlink>
      <w:r w:rsidRPr="00BB3EFE">
        <w:rPr>
          <w:rFonts w:ascii="Times New Roman" w:hAnsi="Times New Roman" w:cs="Times New Roman"/>
          <w:sz w:val="24"/>
          <w:szCs w:val="24"/>
        </w:rPr>
        <w:t>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0"/>
      <w:bookmarkEnd w:id="2"/>
      <w:r w:rsidRPr="00BB3EFE">
        <w:rPr>
          <w:rFonts w:ascii="Times New Roman" w:hAnsi="Times New Roman" w:cs="Times New Roman"/>
          <w:sz w:val="24"/>
          <w:szCs w:val="24"/>
        </w:rPr>
        <w:lastRenderedPageBreak/>
        <w:t>4.4. В зданиях и сооружениях, указанных в данном перечне, следует защищать АУП и (или) СПС все помещения независимо от площади, кроме помещений: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- с мокрыми процессами, душевых, плавательных бассейнов, санузлов, мойки;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- венткамер (за исключением вытяжных, обслуживающих производственные помещения категории А или Б), насосных водоснабжения, бойлерных, тепловых пунктов;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- категории В4 (за исключением помещений категории В4 в зданиях классов функциональной пожарной опасности Ф1.1, Ф1.2, Ф2.1, Ф4.1 и Ф4.2) и Д по пожарной опасности;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- лестничных клеток;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- тамбуров и тамбур-шлюзов;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- чердаков (за исключением чердаков в зданиях классов функциональной пожарной опасности Ф1.1, Ф1.2, Ф2.1, Ф4.1 и Ф4.2).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Примечание: в лифтовых холлах и безопасных зонах предусматривается установка только СПС.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 xml:space="preserve">4.5. Если площадь помещений, подлежащих оборудованию АУП, составляет 40% и более от общей площади этажей здания, сооружения, следует предусматривать оборудование здания, сооружения в целом АУП с учетом требований </w:t>
      </w:r>
      <w:hyperlink w:anchor="Par110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пункта 4.4</w:t>
        </w:r>
      </w:hyperlink>
      <w:r w:rsidRPr="00BB3EFE">
        <w:rPr>
          <w:rFonts w:ascii="Times New Roman" w:hAnsi="Times New Roman" w:cs="Times New Roman"/>
          <w:sz w:val="24"/>
          <w:szCs w:val="24"/>
        </w:rPr>
        <w:t>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4.6. Категория зданий и помещений по взрывопожарной и пожарной опасности определяется в соответствии с нормативными документами по пожарной безопасности, утвержденными в установленном порядке.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4.7. Защита наружных установок с обращением взрывопожароопасных и пожароопасных веществ и материалов АУП и СПС определяется нормативными документами по пожарной безопасности.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 xml:space="preserve">4.8. Перечень зданий, сооружений, помещений и оборудования, подлежащих защите АУП и (или) СПС, представлен в </w:t>
      </w:r>
      <w:hyperlink w:anchor="Par129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таблицах 1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36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BB3EFE">
        <w:rPr>
          <w:rFonts w:ascii="Times New Roman" w:hAnsi="Times New Roman" w:cs="Times New Roman"/>
          <w:sz w:val="24"/>
          <w:szCs w:val="24"/>
        </w:rPr>
        <w:t>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 xml:space="preserve">В случае превышения приведенного в </w:t>
      </w:r>
      <w:hyperlink w:anchor="Par129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таблицах 1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58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 значения нормативного показателя площади здания (помещения) в пределах 5% допускается защита здания (помещения) СПС без использования АУП.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4.9. Помещения зданий классов функциональной пожарной опасности Ф1, Ф2, Ф3 и Ф4, защищаемые согласно настоящему своду правил АУП, должны дополнительно оборудоваться СПС.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Для помещений зданий класса функциональной пожарной опасности Ф5, защищаемых согласно настоящему своду правил АУП, допускается не предусматривать СПС при обеспечении безопасной эвакуации людей из здания, с учетом инерционности срабатывания АУП.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 xml:space="preserve">4.10. Помещения, перечисленные в </w:t>
      </w:r>
      <w:hyperlink w:anchor="Par358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таблице 3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, а также сооружения, указанные в </w:t>
      </w:r>
      <w:hyperlink w:anchor="Par340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пункте 11 таблицы 2</w:t>
        </w:r>
      </w:hyperlink>
      <w:r w:rsidRPr="00BB3EFE">
        <w:rPr>
          <w:rFonts w:ascii="Times New Roman" w:hAnsi="Times New Roman" w:cs="Times New Roman"/>
          <w:sz w:val="24"/>
          <w:szCs w:val="24"/>
        </w:rPr>
        <w:t>, оборудуются соответствующими системами противопожарной защиты независимо от назначения здания, в состав которого они входят.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 xml:space="preserve">4.11. Оборудование системами противопожарной защиты помещений автозаправочных станций (далее - АЗС) следует осуществлять в соответствии с </w:t>
      </w:r>
      <w:r w:rsidRPr="00BB3EFE">
        <w:rPr>
          <w:rFonts w:ascii="Times New Roman" w:hAnsi="Times New Roman" w:cs="Times New Roman"/>
          <w:sz w:val="24"/>
          <w:szCs w:val="24"/>
        </w:rPr>
        <w:lastRenderedPageBreak/>
        <w:t>положениями "</w:t>
      </w:r>
      <w:hyperlink r:id="rId24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СП 156.13130.2014</w:t>
        </w:r>
      </w:hyperlink>
      <w:r w:rsidRPr="00BB3EFE">
        <w:rPr>
          <w:rFonts w:ascii="Times New Roman" w:hAnsi="Times New Roman" w:cs="Times New Roman"/>
          <w:sz w:val="24"/>
          <w:szCs w:val="24"/>
        </w:rPr>
        <w:t>. Свод правил. Станции автомобильные заправочные. Требования пожарной безопасности".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EFE">
        <w:rPr>
          <w:rFonts w:ascii="Times New Roman" w:hAnsi="Times New Roman" w:cs="Times New Roman"/>
          <w:sz w:val="24"/>
          <w:szCs w:val="24"/>
        </w:rPr>
        <w:t>4.12. Здания, сооружения и помещения, не вошедшие в настоящий свод правил, оборудуются системами противопожарной защиты в соответствии с требованиями нормативных документов по пожарной безопасности.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29"/>
      <w:bookmarkEnd w:id="3"/>
      <w:r w:rsidRPr="00BB3EFE">
        <w:rPr>
          <w:rFonts w:ascii="Times New Roman" w:hAnsi="Times New Roman" w:cs="Times New Roman"/>
          <w:b/>
          <w:bCs/>
          <w:sz w:val="24"/>
          <w:szCs w:val="24"/>
        </w:rPr>
        <w:t>Таблица 1 - Здания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9"/>
        <w:gridCol w:w="2429"/>
        <w:gridCol w:w="2041"/>
      </w:tblGrid>
      <w:tr w:rsidR="00BB3EFE" w:rsidRPr="00BB3EFE"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Объект защиты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BB3EFE" w:rsidRPr="00BB3EFE"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Нормативный показатель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35"/>
            <w:bookmarkEnd w:id="4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1. Здания складов категории В по пожарной опасности с хранением на стеллажах высотой 5,5 м и более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 и этажности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2. Здания складов категории В по пожарной опасности высотой два этажа и более (кроме указанных в </w:t>
            </w:r>
            <w:hyperlink w:anchor="Par135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41"/>
            <w:bookmarkEnd w:id="5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3. Здания архивов уникальных изданий, отчетов, рукописей и других носителей информации особой ценности, а также здания хранилищ предметов культурного наследия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4. Здания и сооружения для автомобилей: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4.1. Автостоянки закрытого типа </w:t>
            </w:r>
            <w:hyperlink w:anchor="Par269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4.1.1. Подземные, надземные высотой 2 этажа и более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4.1.2. Надземные одноэтажные: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4.1.2.1. Здания I, II, III степени огнестойкости класса конструктивной пожарной опасности С0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При общей площади здания (пожарного отсека) 7000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При общей площади здания (пожарного отсека) менее 7000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4.1.2.2. Здания I, II, III степени огнестойкости класса конструктивной пожарной опасности С1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При общей площади здания (пожарного отсека) 3600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При общей площади здания (пожарного отсека) менее 3600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4.1.2.3. Здания IV степени огнестойкости класса конструктивной пожарной опасности С0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При общей площади здания (пожарного отсека) 3600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При общей площади здания (пожарного отсека) менее 3600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4.1.2.4. Здания IV степени огнестойкости класса конструктивной пожарной опасности С1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При общей площади здания (пожарного отсека) 2000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При общей площади здания (пожарного отсека) менее 2000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4.1.2.5. Здания IV степени огнестойкости класса конструктивной пожарной опасности С2, С3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При общей площади здания (пожарного отсека) 1000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При общей площади здания (пожарного отсека) менее 1000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4.1.3. Здания механизированных автостоянок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 и этажности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5. Здания высотой более 30 м (за исключением жилых зданий (класса функциональной пожарной опасности Ф1.3) и производственных зданий категории Г и Д по пожарной опасности) </w:t>
            </w:r>
            <w:hyperlink w:anchor="Par270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6. Жилые здания </w:t>
            </w:r>
            <w:hyperlink w:anchor="Par271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6.1. Жилые здания многоквартирные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6.2. Жилые здания одноквартирные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Оборудуются автономными дымовыми пожарными извещателями независимо от площади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6.3. Жилые здания высотой более 75 м </w:t>
            </w:r>
            <w:hyperlink w:anchor="Par272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89"/>
            <w:bookmarkEnd w:id="6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7. Специализированные дома (не квартирные), дома-интернаты для престарелых и инвалидов, детей-инвалидов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92"/>
            <w:bookmarkEnd w:id="7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8. Здания общежитий и гостиниц: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8.1. Общежития квартирного типа (класса функциональной пожарной опасности Ф1.3)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8.2. Гостиницы и общежития не квартирного типа, спальные корпуса санаториев и домов отдыха общего типа, кемпингов, мотелей и пансионатов (класса функциональной пожарной опасности 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Ф1.2)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высоте 30 м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При высоте менее 30 м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1"/>
            <w:bookmarkEnd w:id="8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Здания общественного и административно-бытового назначения из легких металлических конструкций (IV - V степени огнестойкости) класса конструктивной пожарной опасности С2 - С3: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9.1. Общественного назначения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 </w:t>
            </w:r>
            <w:hyperlink w:anchor="Par273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Менее 800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9.2. Административно-бытового назначения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1200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Менее 1200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10. Здания и сооружения по переработке и хранению зерна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 и этажности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13"/>
            <w:bookmarkEnd w:id="9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11. Здания общественного и административно-бытового назначения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 и этажности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16"/>
            <w:bookmarkEnd w:id="10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12. Здания предприятий торговли (кроме зданий по продаже и подготовке к продаже автомобилей), за исключением помещений хранения и подготовки к продаже мяса, рыбы, фруктов и овощей (в негорючей упаковке), металлической посуды, негорючих строительных материалов: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12.1. Одноэтажные: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12.1.1. При размещении торгового зала в цокольном, заглубленном более чем на 0,5 м, или подвальном этажах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Менее 200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12.1.2. При размещении торгового зала в наземной части здания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При площади здания 3500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При площади здания менее 3500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12.2. Двухэтажные: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12.2.1. При размещении торгового зала в цокольном, заглубленном более чем на 0,5 м, или подвальном этажах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12.2.2. При размещении торгового зала в наземной части здания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При площади здания 4000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При площади здания менее 4000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12.3. Трехэтажные и более: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12.4. Здания специализированных предприятий торговли по продаже 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легковоспламеняющихся и горючих жидкостей (за исключением расфасованного товара в таре емкостью не более 20 л)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Объекты и комплексы религиозного назначения (кроме отдельно стоящих объектов, состоящих из единственного помещения).</w:t>
            </w:r>
          </w:p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(Производственные, складские и жилые здания комплексов религиозного назначения оборудуются по требованиям соответствующих пунктов настоящего свода правил)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 и этажности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247"/>
            <w:bookmarkEnd w:id="11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14. Здания выставочных павильонов: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14.1. Одноэтажные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Менее 1000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14.2. Двухэтажные и более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256"/>
            <w:bookmarkEnd w:id="12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15. Здания общеобразовательных школ высотой более 4-х этажей, нс считая верхнего технического этажа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16. Здания пожарных депо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 и числа пожарных автомобилей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17. Животноводческие, птицеводческие и звероводческие здания </w:t>
            </w:r>
            <w:hyperlink w:anchor="Par274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При площади здания более 10000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18. Отдельно стоящие (не пристроенные к другим зданиям) в сельских населенных пунктах магазины продовольственных товаров, аптеки, фельдшерско-акушерские пункты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 от площади </w:t>
            </w:r>
            <w:hyperlink w:anchor="Par275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</w:tr>
      <w:tr w:rsidR="00BB3EFE" w:rsidRPr="00BB3EFE"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269"/>
            <w:bookmarkEnd w:id="13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1. В одно- и двухэтажных автостоянках боксового типа с непосредственным выездом наружу из каждого бокса АУП и СПС допускается нс предусматривать, при условии, что в одном боксе размещается не более двух автомобилей.</w:t>
            </w:r>
          </w:p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270"/>
            <w:bookmarkEnd w:id="14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2. Здесь и далее высота здания (кроме зданий класса функциональной пожарной опасности Ф5) определяется по "</w:t>
            </w:r>
            <w:hyperlink r:id="rId25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 1.13130.2020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. Свод правил. Системы противопожарной защиты. Эвакуационные пути и выходы". Высота здания класса функциональной пожарной опасности Ф5 измеряется от пола 1-го этажа до потолка верхнего этажа, включая технический, при переменной высоте потолка принимается средняя высота этажа.</w:t>
            </w:r>
          </w:p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271"/>
            <w:bookmarkEnd w:id="15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3. Защита СПС многоквартирных жилых зданий осуществляется в соответствии с положениями раздела 6.2 </w:t>
            </w:r>
            <w:hyperlink w:anchor="Par684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[2]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. Жилые помещения (комнаты), прихожие (при их наличии) и коридоры квартир, не оборудованные дымовыми пожарными 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извещателями СПС и пожарными оповещателями системы оповещения и управления эвакуацией людей при пожаре, следует оборудовать автономными дымовыми пожарными извещателями вне зависимости от этажности здания, в том числе, в одноквартирных жилых домах (включая блокированные).</w:t>
            </w:r>
          </w:p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272"/>
            <w:bookmarkEnd w:id="16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4. Спринклерные оросители АУП устанавливаются в общих (внеквартирных) коридорах с орошением входных дверей квартир.</w:t>
            </w:r>
          </w:p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273"/>
            <w:bookmarkEnd w:id="17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5. Здесь и далее в таблице 1 указана общая площадь помещений, кроме специально оговоренных случаев.</w:t>
            </w:r>
          </w:p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274"/>
            <w:bookmarkEnd w:id="18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6. Встроенные и встроенно-пристроенные административные помещения указанных зданий оборудуются автономными дымовыми пожарными извещателями при площади здания не более 10000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275"/>
            <w:bookmarkEnd w:id="19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7. При площади здания не более 100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вместо СПС применять автономные дымовые пожарные извещатели.</w:t>
            </w:r>
          </w:p>
        </w:tc>
      </w:tr>
    </w:tbl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Par277"/>
      <w:bookmarkEnd w:id="20"/>
      <w:r w:rsidRPr="00BB3EFE">
        <w:rPr>
          <w:rFonts w:ascii="Times New Roman" w:hAnsi="Times New Roman" w:cs="Times New Roman"/>
          <w:b/>
          <w:bCs/>
          <w:sz w:val="24"/>
          <w:szCs w:val="24"/>
        </w:rPr>
        <w:t>Таблица 2 - Сооружения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9"/>
        <w:gridCol w:w="2429"/>
        <w:gridCol w:w="2041"/>
      </w:tblGrid>
      <w:tr w:rsidR="00BB3EFE" w:rsidRPr="00BB3EFE"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Объект защиты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BB3EFE" w:rsidRPr="00BB3EFE"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Нормативный показатель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283"/>
            <w:bookmarkEnd w:id="21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1. Кабельные сооружения </w:t>
            </w:r>
            <w:hyperlink w:anchor="Par344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электростанций (за исключением частично закрытых кабельных галерей, прокладываемых снаружи зданий, сооружений)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2. Кабельные сооружения подстанций напряжением, кВ: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2.1. 500 и выше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2.2. Менее 500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295"/>
            <w:bookmarkEnd w:id="22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3. Кабельные сооружения подстанций глубокого ввода напряжением 110 - 220 кВ с трансформаторами мощностью: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3.1. 63 МВА и выше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3.2. Менее 63 МВА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4. Кабельные сооружения промышленных и общественных зданий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Более 100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5. Комбинированные тоннели производственных и общественных зданий при прокладке в них кабелей и проводов напряжением 220 В и выше: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Объемом более 100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12 шт.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От 5 до 12 шт.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5.2. Объемом 100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5 шт. и более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6. Кабельные тоннели и полностью закрытые галереи (в том числе комбинированные), прокладываемые между промышленными зданиями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7. Городские кабельные коллекторы и тоннели (в том числе комбинированные)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 и объема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8. Кабельные сооружения при прокладке в них маслонаполненных кабелей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9. Закрытые галереи, эстакады для транспортирования лесоматериалов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длины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10. Пространства за подвесными потолками и между двойными полами при прокладке в них, трубопроводов из материалов группы горючести Г2 - Г4 или с изоляцией из указанных материалов, а также кабелей (проводов), в том числе при их совместной прокладке </w:t>
            </w:r>
            <w:hyperlink w:anchor="Par345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50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331"/>
            <w:bookmarkEnd w:id="23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10.1. Трубопроводов из материалов группы горючести Г2 - Г4 или с изоляцией из указанных материалов, независимо от массы данных материалов </w:t>
            </w:r>
            <w:hyperlink w:anchor="Par351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 и объема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334"/>
            <w:bookmarkEnd w:id="24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10.2. Кабелей (проводов) с объемом горючей массы 7 и более литров на метр кабельной линии (электропроводки) </w:t>
            </w:r>
            <w:hyperlink w:anchor="Par351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 и объема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10.3. Кабелей (проводов) с объемом горючей массы от 1,5 до 7 л на метр кабельной линии (электропроводки)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 и объема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340"/>
            <w:bookmarkEnd w:id="25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11. Мобильные (инвентарные) здания контейнерного типа для временного проживания людей (строительные бытовки, вагончики и пр.) </w:t>
            </w:r>
            <w:hyperlink w:anchor="Par356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</w:tr>
      <w:tr w:rsidR="00BB3EFE" w:rsidRPr="00BB3EFE"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344"/>
            <w:bookmarkEnd w:id="26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1. Под кабельными сооружениями в настоящем своде правил понимаются тоннели, проходные шахты, этажи, двойные полы, галереи, камеры, используемые для прокладки кабелей (в том числе совместно с другими коммуникациями).</w:t>
            </w:r>
          </w:p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345"/>
            <w:bookmarkEnd w:id="27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2. Кабельные сооружения, пространства за подвесными потолками и между двойными полами автоматическими установками нс оборудуются (за исключением </w:t>
            </w:r>
            <w:hyperlink w:anchor="Par283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пунктов 1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95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таблицы):</w:t>
            </w:r>
          </w:p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а) при прокладке кабелей (проводов) в стальных трубах или стальных сплошных коробах с открываемыми сплошными крышками;</w:t>
            </w:r>
          </w:p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б) при прокладке трубопроводов из материалов группы горючести НГ и Г1 (в 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"</w:t>
            </w:r>
            <w:hyperlink r:id="rId26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 7.13130.2013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. Свод правил. Отопление, вентиляция, кондиционирование. Требования пожарной безопасности" воздуховоды допускается предусматривать только из материалов группы горючести НГ и Г1);</w:t>
            </w:r>
          </w:p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в) при прокладке одиночных кабелей (проводов) для питания цепей освещения и организации структурированной кабельной сети;</w:t>
            </w:r>
          </w:p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г) при прокладке кабелей (проводов) с общим объемом горючей массы менее 1,5 л на 1 м кабельной линии (электропроводки) за подвесными потолками, выполненными из материалов группы горючести НГ и Г1.</w:t>
            </w:r>
          </w:p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350"/>
            <w:bookmarkEnd w:id="28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3. Объем горючей массы изоляции кабелей (проводов) определяется по методике "</w:t>
            </w:r>
            <w:hyperlink r:id="rId27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IEC 60332-3-22-2011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. Межгосударственный стандарт. Испытания электрических и оптических кабелей в условиях воздействия пламени. Часть 3-22. Распространение пламени по вертикально расположенным пучкам проводов или кабелей. Категория А".</w:t>
            </w:r>
          </w:p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351"/>
            <w:bookmarkEnd w:id="29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4. Требования </w:t>
            </w:r>
            <w:hyperlink w:anchor="Par331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пунктов 10.1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ar334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10.2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таблицы (с учетом </w:t>
            </w:r>
            <w:hyperlink w:anchor="Par345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примечания 2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) по применению АУП (в зависимости от характеристик пожарной нагрузки) распространяются на пространства за подвесными потолками и между двойными полами, расположенные:</w:t>
            </w:r>
          </w:p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в зданиях (помещениях), подлежащих в целом защите АУП;</w:t>
            </w:r>
          </w:p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в эвакуационных коридорах, холлах, фойе, вестибюлях зданий любого назначения;</w:t>
            </w:r>
          </w:p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в помещениях, рассчитанных на пребывание 50 и более человек;</w:t>
            </w:r>
          </w:p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в зданиях (помещениях) классов функциональной пожарной опасности Ф1.1 и Ф4.1.</w:t>
            </w:r>
          </w:p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356"/>
            <w:bookmarkEnd w:id="30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5. Для отдельно стоящих строительных бытовок и вагончиков, а также для сгруппированных и расположенных не более чем в два уровня во высоте, при организации выхода непосредственно наружу из каждой бытовки (вагончика) допускается вместо СПС применять автономные дымовые пожарные извещатели.</w:t>
            </w:r>
          </w:p>
        </w:tc>
      </w:tr>
    </w:tbl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1" w:name="Par358"/>
      <w:bookmarkEnd w:id="31"/>
      <w:r w:rsidRPr="00BB3EFE">
        <w:rPr>
          <w:rFonts w:ascii="Times New Roman" w:hAnsi="Times New Roman" w:cs="Times New Roman"/>
          <w:b/>
          <w:bCs/>
          <w:sz w:val="24"/>
          <w:szCs w:val="24"/>
        </w:rPr>
        <w:t>Таблица 3 - Помещения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9"/>
        <w:gridCol w:w="2429"/>
        <w:gridCol w:w="2041"/>
      </w:tblGrid>
      <w:tr w:rsidR="00BB3EFE" w:rsidRPr="00BB3EFE"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Объект защиты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BB3EFE" w:rsidRPr="00BB3EFE"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Нормативный показатель</w:t>
            </w:r>
          </w:p>
        </w:tc>
      </w:tr>
      <w:tr w:rsidR="00BB3EFE" w:rsidRPr="00BB3EFE"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складского назначения </w:t>
            </w:r>
            <w:hyperlink w:anchor="Par626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1. Категории А и Б по взрывопожарной опасности (кроме помещений, расположенных в зданиях и сооружениях по переработке и хранению зерна)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Менее 300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368"/>
            <w:bookmarkEnd w:id="32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2. Для хранения каучука, целлулоида и изделий из него, спичек, щелочных металлов, пиротехнических изделий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371"/>
            <w:bookmarkEnd w:id="33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3. Для хранения шерсти, меха и изделий из них; горючих материалов с малой (менее 3 кг/м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) насыпной плотностью (стационарных аэровзвесей); фото-, кино-, аудиопленки на горючей основе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4. Категории В1 по пожарной опасности (кроме указанных в </w:t>
            </w:r>
            <w:hyperlink w:anchor="Par368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71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настоящей таблицы и помещений, расположенных в зданиях и сооружениях по переработке и хранению зерна) при их размещении: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В цокольном, заглубленном более чем на 0,5 м, и подвальном этажах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4.2. В надземных этажах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Менее 300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5. Категорий В2 - В3 по пожарной опасности (кроме указанных в </w:t>
            </w:r>
            <w:hyperlink w:anchor="Par368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71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таблицы и помещений, расположенных в зданиях и сооружениях по переработке и хранению зерна) при их размещении: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5.1. В цокольном, заглубленном более чем на 0,5 м, и подвальном этажах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Менее 300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5.2. В надземных этажах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Менее 1000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6. Помещения охлаждаемых (холодильных) камер промышленных холодильников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</w:tr>
      <w:tr w:rsidR="00BB3EFE" w:rsidRPr="00BB3EFE"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7. Категории А и Б по взрывопожарной опасности с обращением легковоспламеняющихся и горючих жидкостей, сжиженных горючих газов, горючих пылей и волокон (кроме указанных в </w:t>
            </w:r>
            <w:hyperlink w:anchor="Par447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11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таблицы и помещений, расположенных в зданиях и сооружениях по переработке и хранению зерна):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Менее 300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7.1. Производственные помещения категории А по взрывопожарной опасности с обращением только горючих газов (за исключением сжиженных горючих газов) при отсутствии иной пожарной нагрузки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7.2. Производственные помещения категории А по взрывопожарной опасности с обращением горючих газов (за исключением сжиженных горючих газов) при наличии иной пожарной нагрузки в помещении. При величине удельной пожарной нагрузки: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7.2.1. Более 2200 МДж/м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менее 300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7.2.2. От 181 до 2200 МДж/м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менее 1000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7.2.3. 180 МДж/м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8. С наличием щелочных металлов при размещении: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8.1. В цокольном этаже, заглубленном более чем на 0,5 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Менее 300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8.2. В надземных этажах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Менее 500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9. Категории В1 по пожарной опасности (кроме помещений, расположенных в зданиях и сооружениях по переработке и хранению зерна) при размещении: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9.1. В цокольном, заглубленном более нем на 0,5 м, и подвальном этажах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9.2. В надземных этажах (кроме указанных в </w:t>
            </w:r>
            <w:hyperlink w:anchor="Par447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11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469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таблицы)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Менее 300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r432"/>
            <w:bookmarkEnd w:id="34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10. Категории В2 - В3 по пожарной опасности (кроме указанных в </w:t>
            </w:r>
            <w:hyperlink w:anchor="Par432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10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469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таблицы и помещений, расположенных в зданиях и сооружениях по переработке и хранению зерна) при их размещении: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10.1. В цокольном, заглубленном более чем на 0,5 м, и подвальном этажах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10.1.1. Не имеющие выходов непосредственно наружу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Менее 300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10.1.2. При наличии выходов непосредственно наружу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700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Менее 700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10.2. В надземных этажах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Менее 1000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ar447"/>
            <w:bookmarkEnd w:id="35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11. Маслоподвалы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12. Помещения приготовления: суспензии из алюминиевой пудры, резиновых клеев; на основе ЛВЖ и ГЖ: лаков, красок, клеев, мастик, пропиточных составов; помещения окрасочных, полимеризации синтетического каучука, огневых подогревателей нефти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13. Помещения высоковольтных испытательных залов экранированные 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горючими материалами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Помещения для размещения оборудования АСУ ТП, работающего в системах управления сложными технологическими процессами, нарушение которых влияет на безопасность людей </w:t>
            </w:r>
            <w:hyperlink w:anchor="Par627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628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Помещения связи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15. Вентиляционные, трансформаторные помещения разделительных устройств: передающих радиостанций мощностью передатчиков 150 кВт и выше, приемных радиостанций с числом приемников от 20, стационарных станций космической связи с мощностью передающего устройства более 1 кВт, ретрансляционных телевизионных станций мощностью передатчиков 25 - 50 кВт, сетевых узлов, междугородных и городских телефонных станций, телеграфных станций, оконечных усилительных пунктов и районных узлов связи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ar463"/>
            <w:bookmarkEnd w:id="36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16. Необслуживаемые и обслуживаемые без вечерних и ночных смен: технические цеха оконечных усилительных пунктов, промежуточных радиорелейных станций, передающих и приемных радиоцентров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17. Необслуживаемые аппаратные базовых станций сотовой системы подвижной радиосвязи и аппаратные радиорелейных станций сотовой системы подвижной радиосвязи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24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Менее 24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ar469"/>
            <w:bookmarkEnd w:id="37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18. Помещения главных касс, помещения бюро контроля переводов и зональных вычислительных центров почтамтов, городских и районных узлов почтовой связи общим объемом зданий;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18.1. 40 тыс.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24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Менее 24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18.2. Менее 40 тыс.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19. Автозалы АТС, в которых устанавливается коммутационное оборудование квазиэлектронного и электронного типов совместно с ЭВМ, используемой в качестве управляющего 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комплекса, устройствами ввода-вывода, помещения электронных коммутационных станций, узлов, центров документальной электросвязи емкостью: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19.1. 10 тыс. и более номеров, каналов или точек подключения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19.2. Менее 10 тыс. номеров, каналов или точек подключения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20. Выделенные помещения управляющих устройств на основе ЭВМ автоматических междугородных телефонных станций при емкости станций: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20.1. 10 тыс. междугородных каналов и более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24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Менее 24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20.2. Менее 10 тыс. междугородных каналов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ar496"/>
            <w:bookmarkEnd w:id="38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21. Помещения обработки, сортировки, хранения и доставки посылок, письменной корреспонденции, периодической печати, страховой почты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Менее 500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Помещения транспорта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22. Помещения железнодорожного транспорта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По "</w:t>
            </w:r>
            <w:hyperlink r:id="rId28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 153.13130.2013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. Свод правил. Инфраструктура железнодорожного транспорта. Требования пожарной безопасности"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23. Помещения и сооружения метрополитенов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По "</w:t>
            </w:r>
            <w:hyperlink r:id="rId29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 120.13330.2012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. Свод правил. Метрополитены. Актуализированная редакция </w:t>
            </w:r>
            <w:hyperlink r:id="rId30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СНиП 32-02-2003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24. Помещения контрольно-диспетчерского пункта с автоматической системой, центра коммутации сообщений, дальних и ближних приводных радиостанций с радиомаркерами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25. Помещения демонтажа и монтажа авиадвигателей, воздушных винтов, шасси и колес самолетов и вертолетов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26. Помещения самолетного и двигателеремонтного производств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27. Помещения для хранения транспортных средств, размещаемые в зданиях иного назначения (за 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индивидуальных жилых домов), при их расположении: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27.1. В цокольных, заглубленных более чем на 0,5 м, подвальных и подземных этажах (в том числе под мостами)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27.2. В надземных этажах </w:t>
            </w:r>
            <w:hyperlink w:anchor="Par629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При хранении 3 и более автомобилей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28. Производственные, складские, а также технические помещения для инженерного оборудования зданий и сооружений для обслуживания автомобилей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По "</w:t>
            </w:r>
            <w:hyperlink r:id="rId31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 364.1311500.2018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. Свод правил. Здания и сооружения для обслуживания автомобилей. Требования пожарной безопасности"</w:t>
            </w:r>
          </w:p>
        </w:tc>
      </w:tr>
      <w:tr w:rsidR="00BB3EFE" w:rsidRPr="00BB3EFE"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Общественные помещения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ar525"/>
            <w:bookmarkEnd w:id="39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29. Помещения хранения и выдачи уникальных изданий, отчетов, рукописей и другой документации особой ценности (в том числе архивов операционных отделов)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30. Помещения хранилищ и помещения хранения служебных каталогов и описей в библиотеках и архивах с общим фондом хранения: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30.1. 500 тыс. единиц и более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30.2. Менее 500 тыс. единиц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ar537"/>
            <w:bookmarkEnd w:id="40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31. Выставочные залы </w:t>
            </w:r>
            <w:hyperlink w:anchor="Par630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Менее 1000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ar540"/>
            <w:bookmarkEnd w:id="41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32. Помещения хранения музейных ценностей </w:t>
            </w:r>
            <w:hyperlink w:anchor="Par630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33. В зданиях культурно-зрелищного назначения (театры, клубы, концертные и киноконцертные залы, филармонии, дома культуры, цирки) со сценой (манежем в цирке) и зрительным залом: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33.1. При вместимости зала более 700 мест </w:t>
            </w:r>
            <w:hyperlink w:anchor="Par632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633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33.2. При вместимости зала более 400 мест и площади сцены более 100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32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633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33.3. Склады декораций, бутафории и реквизита, столярные мастерские, фуражные, инвентарные и хозяйственные кладовые, помещения хранения и изготовления рекламы, помещения 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назначения и обслуживания сцены, помещения для животных, чердачное подкупольное пространство над зрительным залом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 от площади при вместимости зала более 400 мест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 Помещения хранилищ ценностей: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34.1. В банках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2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ВНП 001-01/Банк России</w:t>
              </w:r>
            </w:hyperlink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34.2. В ломбардах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ar563"/>
            <w:bookmarkEnd w:id="42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35. Съемочные павильоны киностудий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Менее 1000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36. Помещения (камеры) хранения багажа ручной клади (кроме оборудованных автоматическими ячейками) и склады горючих материалов в зданиях вокзалов (в том числе аэровокзалов) в этажах: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36.1. В цокольном, заглубленном более чем на 0,5 м, и подвальном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~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36.2. В надземных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Менее 300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37. Помещения для хранения горючих материалов или негорючих материалов в горючей упаковке при их расположении: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37.1. Под трибунами любой вместимости в крытых спортивных сооружениях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Менее 100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37.2. В зданиях крытых спортивных сооружений вместимостью 800 и более зрителей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Менее 100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37.3. Под трибунами вместимостью 3 тыс. и более зрителей при открытых спортивных сооружениях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Менее 100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38. Специализированные помещения для размещения серверов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24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Менее 24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ar590"/>
            <w:bookmarkEnd w:id="43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39. Помещения предприятий торговли, встроенные и встроенно-пристроенные в здания другого назначения: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39.1. Цокольные, заглубленные более чем на 0,5 м, и подвальные этажи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Общей площадью 200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Общей площадью менее 200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39.2. Надземные этажи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Общей площадью 500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Общей площадью менее 500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40. Помещения производственного и складского назначения категории В4 по 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опасности, расположенные в зданиях классов функциональной пожарной опасности Ф1.1, Ф1.2, Ф2.1, Ф4.1 и Ф4.2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 Помещения для размещения детских игровых зон (кроме помещений в зданиях дошкольных образовательных организаций) с применением материалов групп горючести Г2 - Г4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При площади зоны 50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42. Чердаки в зданиях классов функциональной пожарной опасности Ф1.1, Ф1.2, Ф2.1, Ф4.1 и Ф4.2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43. Помещения класса функциональной пожарной опасности Ф3.2, размещаемые в подвальных этажах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Общей площадью 200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44. Помещения детских дошкольных учреждений и организаций, встроенные в здания иного назначения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45. Помещения для предоставления гостиничных услуг, встроенные в здания иного назначения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46. Мусоросборные камеры жилых многоквартирных зданий </w:t>
            </w:r>
            <w:hyperlink w:anchor="Par634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47. Помещения производственного и складского назначения, расположенные в научно-исследовательских учреждениях и других общественных зданиях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Оборудуются согласно соответствующим разделам таблицы 3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ar622"/>
            <w:bookmarkEnd w:id="44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48. Помещения иного административного, административно-бытового и общественного назначения, в том числе встроенные и пристроенные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</w:tr>
      <w:tr w:rsidR="00BB3EFE" w:rsidRPr="00BB3EFE"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ar626"/>
            <w:bookmarkEnd w:id="45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1. Дополнительные требования по защите помещений складов нефти и нефтепродуктов изложены в "</w:t>
            </w:r>
            <w:hyperlink r:id="rId33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 155.13130.2014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. Свод правил. Склады нефти и нефтепродуктов. Требования пожарной безопасности".</w:t>
            </w:r>
          </w:p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ar627"/>
            <w:bookmarkEnd w:id="46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2. В указанных помещениях допускается не применять АУП для помещения в целом, при условии, что все электронное и электротехническое оборудование (включая оборудование АСУ ТП) защищено автоматическими установками локального пожаротушения или автономными установками пожаротушения, а в помещениях установлена система пожарной сигнализации. При этом защита кабельных соединительных линий в указанных помещениях может быть осуществлена конструктивными методами, а при их нахождении за подвесными потолками или между двойными полами следует руководствоваться </w:t>
            </w:r>
            <w:hyperlink w:anchor="Par340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11 таблицы 2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ar628"/>
            <w:bookmarkEnd w:id="47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3. Для защиты указанных помещений должны применяться АУП, не вызывающие 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повреждение или сбои в работе защищаемого оборудования при ложном срабатывании.</w:t>
            </w:r>
          </w:p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ar629"/>
            <w:bookmarkEnd w:id="48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4. При размещении автомобилей в выставочных и торговых залах помещения данных выставочных и торговых залов оборудуются АУП соответствии с </w:t>
            </w:r>
            <w:hyperlink w:anchor="Par537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31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ar590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</w:t>
              </w:r>
            </w:hyperlink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таблицы соответственно.</w:t>
            </w:r>
          </w:p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ar630"/>
            <w:bookmarkEnd w:id="49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5. Данное требование не распространяется на помещения, временно используемые для выставок (фойе, вестибюли и т.д.), а также на помещения, в которых хранение ценностей производится в металлических сейфах.</w:t>
            </w:r>
          </w:p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На объектах культурного наследия (памятниках истории и культуры) народов Российской Федерации допускается не применять АУП для помещения в целом, при условии, что помещение защищается автоматическими установками локального пожаротушения или автономными установками пожаротушения.</w:t>
            </w:r>
          </w:p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ar632"/>
            <w:bookmarkEnd w:id="50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6. Дренчерные оросители устанавливаются под колосниками сцены и арьерсцены, под нижним ярусом рабочих галерей и соединяющими их нижними переходными мостиками, в сейфах скатанных декораций и во всех проемах сцены, включая проемы портала, карманов и арьерсцены, а также части трюма, занятой конструкциями встроенного оборудования сцены и подъемно-опускных устройств.</w:t>
            </w:r>
          </w:p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ar633"/>
            <w:bookmarkEnd w:id="51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7. Спринклерными установками оборудуются: покрытия сцены и арьерсцены, все рабочие галереи и переходные мостики (кроме нижних) трюм (кроме встроенного оборудования сцены), карманы сцены, арьерсцена, а также складские помещения, кладовые, мастерские, помещения станковых и объемных декораций, камера пылеудаления, фуражные, инвентарные и хозяйственные кладовые, помещения производственного назначения и обслуживания сцены, помещения для животных, чердачное подкупольное пространство над зрительным залом.</w:t>
            </w:r>
          </w:p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ar634"/>
            <w:bookmarkEnd w:id="52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8. В многоквартирных жилых зданиях мусоросборная камера должна быть защищена по всей площади спринклерными оросителями. Участок распределительного трубопровода оросителей должен быть, кольцевым, подключенным к сети хозяйственно-питьевого водопровода многоквартирного здания и оснащенным теплоизоляцией из негорючих материалов.</w:t>
            </w:r>
          </w:p>
        </w:tc>
      </w:tr>
    </w:tbl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3" w:name="Par636"/>
      <w:bookmarkEnd w:id="53"/>
      <w:r w:rsidRPr="00BB3EFE">
        <w:rPr>
          <w:rFonts w:ascii="Times New Roman" w:hAnsi="Times New Roman" w:cs="Times New Roman"/>
          <w:b/>
          <w:bCs/>
          <w:sz w:val="24"/>
          <w:szCs w:val="24"/>
        </w:rPr>
        <w:t>Таблица 4 - Оборудование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9"/>
        <w:gridCol w:w="2429"/>
        <w:gridCol w:w="2041"/>
      </w:tblGrid>
      <w:tr w:rsidR="00BB3EFE" w:rsidRPr="00BB3EFE"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Объект защиты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BB3EFE" w:rsidRPr="00BB3EFE"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Нормативный показатель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1. Окрасочные камеры с применением ЛВЖ и ГЖ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типа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2. Сушильные камеры (кроме камер с влажностью внутреннего воздуха свыше 60% при температуре свыше 24 °C)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типа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3. Циклоны (бункеры) для сбора горючих отходов </w:t>
            </w:r>
            <w:hyperlink w:anchor="Par679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типа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4. Масляные силовые трансформаторы и реакторы: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4.1. Напряжением 500 кВ и выше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мощности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Напряжением 220 - 330 кВ и выше, мощностью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200 МВА и выше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4.3. Напряжением 110 кВ и выше, установленные у здания гидроэлектростанций, с единичной мощностью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63 МВА и выше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4.4. Напряжением 110 кВ и выше, установленные в камерах закрытых подстанций глубокого ввода и в закрытых распределительных установках электростанций и подстанций, мощностью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63 МВА и выше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5. Испытательные станции, передвижные электростанции и ацетаты с дизель- и бензоэлектрическими агрегатами, смонтированными на автомашинах и прицепах </w:t>
            </w:r>
            <w:hyperlink w:anchor="Par679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6. Стеллажи высотой более 5,5 м для хранения горючих материалов и негорючих материалов в горючей упаковке в зданиях любого назначения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7. Масляные емкости для закаливания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Pr="00BB3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EFE" w:rsidRPr="00BB3EFE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8. Охлаждаемые (холодильные) камеры заводского изготовления с возможностью пребывания в них людей, размещаемые в помещениях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</w:t>
            </w:r>
          </w:p>
        </w:tc>
      </w:tr>
      <w:tr w:rsidR="00BB3EFE" w:rsidRPr="00BB3EFE"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ar679"/>
            <w:bookmarkEnd w:id="54"/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1) Допускается вместо АУП применять автономные установки пожаротушения.</w:t>
            </w:r>
          </w:p>
        </w:tc>
      </w:tr>
    </w:tbl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B3EFE">
        <w:rPr>
          <w:rFonts w:ascii="Times New Roman" w:hAnsi="Times New Roman" w:cs="Times New Roman"/>
          <w:b/>
          <w:bCs/>
          <w:sz w:val="24"/>
          <w:szCs w:val="24"/>
        </w:rPr>
        <w:t>Библиография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ar683"/>
      <w:bookmarkEnd w:id="55"/>
      <w:r w:rsidRPr="00BB3EFE">
        <w:rPr>
          <w:rFonts w:ascii="Times New Roman" w:hAnsi="Times New Roman" w:cs="Times New Roman"/>
          <w:sz w:val="24"/>
          <w:szCs w:val="24"/>
        </w:rPr>
        <w:t xml:space="preserve">[1] Федеральный </w:t>
      </w:r>
      <w:hyperlink r:id="rId34" w:history="1">
        <w:r w:rsidRPr="00BB3EF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B3EFE">
        <w:rPr>
          <w:rFonts w:ascii="Times New Roman" w:hAnsi="Times New Roman" w:cs="Times New Roman"/>
          <w:sz w:val="24"/>
          <w:szCs w:val="24"/>
        </w:rPr>
        <w:t xml:space="preserve"> от 22.07.2008 N 123-ФЗ "Технический регламент о требованиях пожарной безопасности".</w:t>
      </w:r>
    </w:p>
    <w:p w:rsidR="00BB3EFE" w:rsidRPr="00BB3EFE" w:rsidRDefault="00BB3EFE" w:rsidP="00BB3E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ar684"/>
      <w:bookmarkEnd w:id="56"/>
      <w:r w:rsidRPr="00BB3EFE">
        <w:rPr>
          <w:rFonts w:ascii="Times New Roman" w:hAnsi="Times New Roman" w:cs="Times New Roman"/>
          <w:sz w:val="24"/>
          <w:szCs w:val="24"/>
        </w:rPr>
        <w:t>[2] Свод правил "Системы противопожарной защиты. Системы пожарной сигнализации и автоматизация систем противопожарной защиты. Нормы и правила проектирования".</w:t>
      </w: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5"/>
        <w:gridCol w:w="4109"/>
      </w:tblGrid>
      <w:tr w:rsidR="00BB3EFE" w:rsidRPr="00BB3EFE">
        <w:tc>
          <w:tcPr>
            <w:tcW w:w="4905" w:type="dxa"/>
            <w:tcBorders>
              <w:top w:val="single" w:sz="4" w:space="0" w:color="auto"/>
            </w:tcBorders>
            <w:vAlign w:val="bottom"/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УДК</w:t>
              </w:r>
            </w:hyperlink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 xml:space="preserve">ОКС </w:t>
            </w:r>
            <w:hyperlink r:id="rId36" w:history="1">
              <w:r w:rsidRPr="00BB3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13.220.01</w:t>
              </w:r>
            </w:hyperlink>
          </w:p>
        </w:tc>
      </w:tr>
      <w:tr w:rsidR="00BB3EFE" w:rsidRPr="00BB3EFE">
        <w:tc>
          <w:tcPr>
            <w:tcW w:w="9014" w:type="dxa"/>
            <w:gridSpan w:val="2"/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614.841.45:629.114.6:006.354</w:t>
            </w:r>
          </w:p>
        </w:tc>
      </w:tr>
      <w:tr w:rsidR="00BB3EFE" w:rsidRPr="00BB3EFE">
        <w:tc>
          <w:tcPr>
            <w:tcW w:w="9014" w:type="dxa"/>
            <w:gridSpan w:val="2"/>
            <w:tcBorders>
              <w:bottom w:val="single" w:sz="4" w:space="0" w:color="auto"/>
            </w:tcBorders>
            <w:vAlign w:val="bottom"/>
          </w:tcPr>
          <w:p w:rsidR="00BB3EFE" w:rsidRPr="00BB3EFE" w:rsidRDefault="00BB3EF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FE">
              <w:rPr>
                <w:rFonts w:ascii="Times New Roman" w:hAnsi="Times New Roman" w:cs="Times New Roman"/>
                <w:sz w:val="24"/>
                <w:szCs w:val="24"/>
              </w:rPr>
              <w:t>Ключевые слона: автоматическая установка пожаротушения, система пожарной сигнализация, объекты защиты</w:t>
            </w:r>
          </w:p>
        </w:tc>
      </w:tr>
    </w:tbl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Pr="00BB3EFE" w:rsidRDefault="00BB3EFE" w:rsidP="00BB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FE" w:rsidRPr="00BB3EFE" w:rsidRDefault="00BB3EFE" w:rsidP="00BB3EF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962" w:rsidRPr="00BB3EFE" w:rsidRDefault="00782962">
      <w:pPr>
        <w:rPr>
          <w:rFonts w:ascii="Times New Roman" w:hAnsi="Times New Roman" w:cs="Times New Roman"/>
          <w:sz w:val="24"/>
          <w:szCs w:val="24"/>
        </w:rPr>
      </w:pPr>
    </w:p>
    <w:sectPr w:rsidR="00782962" w:rsidRPr="00BB3EFE" w:rsidSect="001F4ED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E9"/>
    <w:rsid w:val="005451E9"/>
    <w:rsid w:val="00782962"/>
    <w:rsid w:val="00B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C676DF8D3793DA8B06A0BE8E03D00B610A663854CD902F13EB81017ED39D3635BEF0B23BB6C837EDB0FB069IFlBF" TargetMode="External"/><Relationship Id="rId13" Type="http://schemas.openxmlformats.org/officeDocument/2006/relationships/hyperlink" Target="consultantplus://offline/ref=519C676DF8D3793DA8B06A0BE8E03D00B715A763804ED902F13EB81017ED39D3715BB70723B9728278CE59E12FAF3CEEF8941C432E2E529FI8lDF" TargetMode="External"/><Relationship Id="rId18" Type="http://schemas.openxmlformats.org/officeDocument/2006/relationships/hyperlink" Target="consultantplus://offline/ref=519C676DF8D3793DA8B06A0BE8E03D00B611A16F8248D902F13EB81017ED39D3715BB70723B9728374CE59E12FAF3CEEF8941C432E2E529FI8lDF" TargetMode="External"/><Relationship Id="rId26" Type="http://schemas.openxmlformats.org/officeDocument/2006/relationships/hyperlink" Target="consultantplus://offline/ref=519C676DF8D3793DA8B06A0BE8E03D00B715A6628446D902F13EB81017ED39D3715BB70723B9728374CE59E12FAF3CEEF8941C432E2E529FI8l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9C676DF8D3793DA8B06A0BE8E03D00B710A5638448D902F13EB81017ED39D3715BB70723B972827ECE59E12FAF3CEEF8941C432E2E529FI8lDF" TargetMode="External"/><Relationship Id="rId34" Type="http://schemas.openxmlformats.org/officeDocument/2006/relationships/hyperlink" Target="consultantplus://offline/ref=519C676DF8D3793DA8B06A0BE8E03D00B711A262864AD902F13EB81017ED39D3635BEF0B23BB6C837EDB0FB069IFlBF" TargetMode="External"/><Relationship Id="rId7" Type="http://schemas.openxmlformats.org/officeDocument/2006/relationships/hyperlink" Target="consultantplus://offline/ref=519C676DF8D3793DA8B06A0BE8E03D00B712A3638C46D902F13EB81017ED39D3715BB70723B972827CCE59E12FAF3CEEF8941C432E2E529FI8lDF" TargetMode="External"/><Relationship Id="rId12" Type="http://schemas.openxmlformats.org/officeDocument/2006/relationships/hyperlink" Target="consultantplus://offline/ref=519C676DF8D3793DA8B06A0BE8E03D00B716A56A814ED902F13EB81017ED39D3715BB70723B9728278CE59E12FAF3CEEF8941C432E2E529FI8lDF" TargetMode="External"/><Relationship Id="rId17" Type="http://schemas.openxmlformats.org/officeDocument/2006/relationships/hyperlink" Target="consultantplus://offline/ref=519C676DF8D3793DA8B0751EEDE03D00B218A0688F188E00A06BB6151FBD63C36712BA043DB9709D7EC50FIBl1F" TargetMode="External"/><Relationship Id="rId25" Type="http://schemas.openxmlformats.org/officeDocument/2006/relationships/hyperlink" Target="consultantplus://offline/ref=519C676DF8D3793DA8B06A0BE8E03D00B715A763804ED902F13EB81017ED39D3715BB70723B9728278CE59E12FAF3CEEF8941C432E2E529FI8lDF" TargetMode="External"/><Relationship Id="rId33" Type="http://schemas.openxmlformats.org/officeDocument/2006/relationships/hyperlink" Target="consultantplus://offline/ref=519C676DF8D3793DA8B06A0BE8E03D00B611A36A8448D902F13EB81017ED39D3715BB70723B972827ECE59E12FAF3CEEF8941C432E2E529FI8lDF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9C676DF8D3793DA8B0751EEDE03D00B615A56D80458408F967B41210E266D6764AB70621A7728162C70DB2I6lAF" TargetMode="External"/><Relationship Id="rId20" Type="http://schemas.openxmlformats.org/officeDocument/2006/relationships/hyperlink" Target="consultantplus://offline/ref=519C676DF8D3793DA8B06A0BE8E03D00B516A26B8546D902F13EB81017ED39D3715BB70723B972827DCE59E12FAF3CEEF8941C432E2E529FI8lDF" TargetMode="External"/><Relationship Id="rId29" Type="http://schemas.openxmlformats.org/officeDocument/2006/relationships/hyperlink" Target="consultantplus://offline/ref=519C676DF8D3793DA8B0751EEDE03D00B615A56D80458408F967B41210E266D6764AB70621A7728162C70DB2I6l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9C676DF8D3793DA8B06A0BE8E03D00B715A3638C49D902F13EB81017ED39D3715BB70723B973867ACE59E12FAF3CEEF8941C432E2E529FI8lDF" TargetMode="External"/><Relationship Id="rId11" Type="http://schemas.openxmlformats.org/officeDocument/2006/relationships/hyperlink" Target="consultantplus://offline/ref=519C676DF8D3793DA8B06A0BE8E03D00B716A56A814ED902F13EB81017ED39D3715BB70723B9728278CE59E12FAF3CEEF8941C432E2E529FI8lDF" TargetMode="External"/><Relationship Id="rId24" Type="http://schemas.openxmlformats.org/officeDocument/2006/relationships/hyperlink" Target="consultantplus://offline/ref=519C676DF8D3793DA8B06A0BE8E03D00B516A26B8546D902F13EB81017ED39D3715BB70723B972827DCE59E12FAF3CEEF8941C432E2E529FI8lDF" TargetMode="External"/><Relationship Id="rId32" Type="http://schemas.openxmlformats.org/officeDocument/2006/relationships/hyperlink" Target="consultantplus://offline/ref=519C676DF8D3793DA8B06312EFE03D00B211AE6C874CD902F13EB81017ED39D3715BB70723B9728278CE59E12FAF3CEEF8941C432E2E529FI8lDF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519C676DF8D3793DA8B06A0BE8E03D00B711A262864AD902F13EB81017ED39D3715BB70723B9758A7FCE59E12FAF3CEEF8941C432E2E529FI8lDF" TargetMode="External"/><Relationship Id="rId15" Type="http://schemas.openxmlformats.org/officeDocument/2006/relationships/hyperlink" Target="consultantplus://offline/ref=519C676DF8D3793DA8B06A0BE8E03D00B715A6628446D902F13EB81017ED39D3715BB70723B9728374CE59E12FAF3CEEF8941C432E2E529FI8lDF" TargetMode="External"/><Relationship Id="rId23" Type="http://schemas.openxmlformats.org/officeDocument/2006/relationships/hyperlink" Target="consultantplus://offline/ref=519C676DF8D3793DA8B06A0BE8E03D00B716A56A814ED902F13EB81017ED39D3715BB70723B9728278CE59E12FAF3CEEF8941C432E2E529FI8lDF" TargetMode="External"/><Relationship Id="rId28" Type="http://schemas.openxmlformats.org/officeDocument/2006/relationships/hyperlink" Target="consultantplus://offline/ref=519C676DF8D3793DA8B06A0BE8E03D00B611A16F8248D902F13EB81017ED39D3715BB70723B9728374CE59E12FAF3CEEF8941C432E2E529FI8lDF" TargetMode="External"/><Relationship Id="rId36" Type="http://schemas.openxmlformats.org/officeDocument/2006/relationships/hyperlink" Target="consultantplus://offline/ref=519C676DF8D3793DA8B06A0BE8E03D00B617AE6E8349D902F13EB81017ED39D3715BB70723B9778B75CE59E12FAF3CEEF8941C432E2E529FI8lDF" TargetMode="External"/><Relationship Id="rId10" Type="http://schemas.openxmlformats.org/officeDocument/2006/relationships/hyperlink" Target="consultantplus://offline/ref=519C676DF8D3793DA8B06A0BE8E03D00B711A262864AD902F13EB81017ED39D3635BEF0B23BB6C837EDB0FB069IFlBF" TargetMode="External"/><Relationship Id="rId19" Type="http://schemas.openxmlformats.org/officeDocument/2006/relationships/hyperlink" Target="consultantplus://offline/ref=519C676DF8D3793DA8B06A0BE8E03D00B611A36A8448D902F13EB81017ED39D3715BB70723B972827ECE59E12FAF3CEEF8941C432E2E529FI8lDF" TargetMode="External"/><Relationship Id="rId31" Type="http://schemas.openxmlformats.org/officeDocument/2006/relationships/hyperlink" Target="consultantplus://offline/ref=519C676DF8D3793DA8B06A0BE8E03D00B710A5638448D902F13EB81017ED39D3715BB70723B972827ECE59E12FAF3CEEF8941C432E2E529FI8l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9C676DF8D3793DA8B06A0BE8E03D00B712A3638C46D902F13EB81017ED39D3635BEF0B23BB6C837EDB0FB069IFlBF" TargetMode="External"/><Relationship Id="rId14" Type="http://schemas.openxmlformats.org/officeDocument/2006/relationships/hyperlink" Target="consultantplus://offline/ref=519C676DF8D3793DA8B06A0BE8E03D00B514A068804FD902F13EB81017ED39D3715BB70723B9728374CE59E12FAF3CEEF8941C432E2E529FI8lDF" TargetMode="External"/><Relationship Id="rId22" Type="http://schemas.openxmlformats.org/officeDocument/2006/relationships/hyperlink" Target="consultantplus://offline/ref=519C676DF8D3793DA8B06312EFE03D00B211AE6C874CD902F13EB81017ED39D3715BB70723B9728278CE59E12FAF3CEEF8941C432E2E529FI8lDF" TargetMode="External"/><Relationship Id="rId27" Type="http://schemas.openxmlformats.org/officeDocument/2006/relationships/hyperlink" Target="consultantplus://offline/ref=519C676DF8D3793DA8B0751EEDE03D00B516AE6C82458408F967B41210E266D6764AB70621A7728162C70DB2I6lAF" TargetMode="External"/><Relationship Id="rId30" Type="http://schemas.openxmlformats.org/officeDocument/2006/relationships/hyperlink" Target="consultantplus://offline/ref=519C676DF8D3793DA8B0751EEDE03D00B218A0688F188E00A06BB6151FBD63C36712BA043DB9709D7EC50FIBl1F" TargetMode="External"/><Relationship Id="rId35" Type="http://schemas.openxmlformats.org/officeDocument/2006/relationships/hyperlink" Target="consultantplus://offline/ref=519C676DF8D3793DA8B0691EF1E03D00B518A36285458408F967B41210E266D6764AB70621A7728162C70DB2I6l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7242</Words>
  <Characters>41284</Characters>
  <Application>Microsoft Office Word</Application>
  <DocSecurity>0</DocSecurity>
  <Lines>344</Lines>
  <Paragraphs>96</Paragraphs>
  <ScaleCrop>false</ScaleCrop>
  <Company/>
  <LinksUpToDate>false</LinksUpToDate>
  <CharactersWithSpaces>48430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КРСК]Гл.специалист ОНТ (Борисова А.С.)</dc:creator>
  <cp:keywords/>
  <dc:description/>
  <cp:lastModifiedBy>[ГУ КРСК]Гл.специалист ОНТ (Борисова А.С.)</cp:lastModifiedBy>
  <cp:revision>2</cp:revision>
  <dcterms:created xsi:type="dcterms:W3CDTF">2021-02-02T05:36:00Z</dcterms:created>
  <dcterms:modified xsi:type="dcterms:W3CDTF">2021-02-02T05:37:00Z</dcterms:modified>
</cp:coreProperties>
</file>